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9"/>
        <w:gridCol w:w="403"/>
        <w:gridCol w:w="397"/>
        <w:gridCol w:w="336"/>
        <w:gridCol w:w="390"/>
        <w:gridCol w:w="390"/>
        <w:gridCol w:w="480"/>
      </w:tblGrid>
      <w:tr w:rsidR="00621D6A" w:rsidRPr="0065100B" w:rsidTr="003955D0">
        <w:trPr>
          <w:trHeight w:val="256"/>
        </w:trPr>
        <w:tc>
          <w:tcPr>
            <w:tcW w:w="8461" w:type="dxa"/>
          </w:tcPr>
          <w:p w:rsidR="00621D6A" w:rsidRPr="0065100B" w:rsidRDefault="00621D6A" w:rsidP="003955D0">
            <w:pPr>
              <w:rPr>
                <w:b/>
              </w:rPr>
            </w:pPr>
            <w:bookmarkStart w:id="0" w:name="_GoBack"/>
            <w:bookmarkEnd w:id="0"/>
            <w:r w:rsidRPr="0065100B">
              <w:rPr>
                <w:b/>
              </w:rPr>
              <w:t>Creative Thinking &amp; Problem Solving Skills (CPS) Elements</w:t>
            </w:r>
          </w:p>
        </w:tc>
        <w:tc>
          <w:tcPr>
            <w:tcW w:w="398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K</w:t>
            </w:r>
          </w:p>
        </w:tc>
        <w:tc>
          <w:tcPr>
            <w:tcW w:w="398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1</w:t>
            </w:r>
          </w:p>
        </w:tc>
        <w:tc>
          <w:tcPr>
            <w:tcW w:w="299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2</w:t>
            </w:r>
          </w:p>
        </w:tc>
        <w:tc>
          <w:tcPr>
            <w:tcW w:w="311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3</w:t>
            </w:r>
          </w:p>
        </w:tc>
        <w:tc>
          <w:tcPr>
            <w:tcW w:w="386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4</w:t>
            </w:r>
          </w:p>
        </w:tc>
        <w:tc>
          <w:tcPr>
            <w:tcW w:w="482" w:type="dxa"/>
          </w:tcPr>
          <w:p w:rsidR="00621D6A" w:rsidRPr="0065100B" w:rsidRDefault="00621D6A" w:rsidP="003955D0">
            <w:pPr>
              <w:rPr>
                <w:b/>
              </w:rPr>
            </w:pPr>
            <w:r w:rsidRPr="0065100B">
              <w:rPr>
                <w:b/>
              </w:rPr>
              <w:t>5</w:t>
            </w:r>
          </w:p>
        </w:tc>
      </w:tr>
      <w:tr w:rsidR="00621D6A" w:rsidRPr="0065100B" w:rsidTr="003955D0">
        <w:trPr>
          <w:trHeight w:val="185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1. The student questions accepted practices, rules, and existing principles to discover new knowledge.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717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2. The student designs, applies, evaluates, and adapts a variety of innovative strategies to when problem solving (e.g., recognizes problems, defines problems, identifies possible solutions, selects optimal solution, implements solution, and evaluates solution).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496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3. The student incorporates brainstorming and other idea-generating techniques (</w:t>
            </w:r>
            <w:proofErr w:type="spellStart"/>
            <w:r w:rsidRPr="0065100B">
              <w:t>synectics</w:t>
            </w:r>
            <w:proofErr w:type="spellEnd"/>
            <w:r w:rsidRPr="0065100B">
              <w:t>, SCAMPER, etc.) to solve problems or create new products.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292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4. The student demonstrates skills in fluency and flexibility to solve problems or create new products.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167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5. The student develops original ideas, presentations, or products through synthesis and evaluation.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451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6. The student, independently or through collaboration with classmates, clarifies, illustrates, or elaborates on an idea for product improvement.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300"/>
        </w:trPr>
        <w:tc>
          <w:tcPr>
            <w:tcW w:w="8461" w:type="dxa"/>
          </w:tcPr>
          <w:p w:rsidR="00621D6A" w:rsidRPr="0065100B" w:rsidRDefault="00621D6A" w:rsidP="003955D0">
            <w:r w:rsidRPr="0065100B">
              <w:t xml:space="preserve">7. The student uses analogies, metaphors, and/or models to explain complex concepts.   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256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8. The student tolerates ambiguity when solving problems.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345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9.  The student recognizes and assumes risks as a necessary part of problem solving.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  <w:tr w:rsidR="00621D6A" w:rsidRPr="0065100B" w:rsidTr="003955D0">
        <w:trPr>
          <w:trHeight w:val="167"/>
        </w:trPr>
        <w:tc>
          <w:tcPr>
            <w:tcW w:w="8461" w:type="dxa"/>
          </w:tcPr>
          <w:p w:rsidR="00621D6A" w:rsidRPr="0065100B" w:rsidRDefault="00621D6A" w:rsidP="003955D0">
            <w:r w:rsidRPr="0065100B">
              <w:t>10. The student monitors and reflects on the creative process of problem solving for future applications.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98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299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11" w:type="dxa"/>
          </w:tcPr>
          <w:p w:rsidR="00621D6A" w:rsidRPr="0065100B" w:rsidRDefault="00621D6A" w:rsidP="003955D0">
            <w:r w:rsidRPr="0065100B">
              <w:t>I</w:t>
            </w:r>
          </w:p>
        </w:tc>
        <w:tc>
          <w:tcPr>
            <w:tcW w:w="386" w:type="dxa"/>
          </w:tcPr>
          <w:p w:rsidR="00621D6A" w:rsidRPr="0065100B" w:rsidRDefault="00621D6A" w:rsidP="003955D0">
            <w:r w:rsidRPr="0065100B">
              <w:t>D</w:t>
            </w:r>
          </w:p>
        </w:tc>
        <w:tc>
          <w:tcPr>
            <w:tcW w:w="482" w:type="dxa"/>
          </w:tcPr>
          <w:p w:rsidR="00621D6A" w:rsidRPr="0065100B" w:rsidRDefault="00621D6A" w:rsidP="003955D0">
            <w:r w:rsidRPr="0065100B">
              <w:t>D</w:t>
            </w:r>
          </w:p>
        </w:tc>
      </w:tr>
    </w:tbl>
    <w:p w:rsidR="00A85489" w:rsidRDefault="00A85489"/>
    <w:sectPr w:rsidR="00A85489" w:rsidSect="0062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A"/>
    <w:rsid w:val="001B0198"/>
    <w:rsid w:val="00621D6A"/>
    <w:rsid w:val="00917D1F"/>
    <w:rsid w:val="009226C4"/>
    <w:rsid w:val="00A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6B45-9D39-429A-B26A-065EAEE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</dc:creator>
  <cp:keywords/>
  <dc:description/>
  <cp:lastModifiedBy>Searcy, Kathleen W</cp:lastModifiedBy>
  <cp:revision>2</cp:revision>
  <dcterms:created xsi:type="dcterms:W3CDTF">2015-08-11T00:42:00Z</dcterms:created>
  <dcterms:modified xsi:type="dcterms:W3CDTF">2015-08-11T00:42:00Z</dcterms:modified>
</cp:coreProperties>
</file>